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e5a6c7d4381587420c597e286b555f7c1dc44cb2.png"/>
            <a:graphic>
              <a:graphicData uri="http://schemas.openxmlformats.org/drawingml/2006/picture">
                <pic:pic>
                  <pic:nvPicPr>
                    <pic:cNvPr id="1" name="image-e5a6c7d4381587420c597e286b555f7c1dc44cb2.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r>
        <w:rPr>
          <w:rFonts w:eastAsia="inter" w:cs="inter" w:ascii="inter" w:hAnsi="inter"/>
          <w:b/>
          <w:color w:val="000000"/>
          <w:sz w:val="39"/>
        </w:rPr>
        <w:t xml:space="preserve">Que peux-tu me dire de l'histoire de l'Amstrad CPC 464 ?</w:t>
      </w:r>
    </w:p>
    <w:p>
      <w:pPr>
        <w:spacing w:line="360" w:after="210" w:lineRule="auto"/>
      </w:pPr>
      <w:r>
        <w:rPr>
          <w:rFonts w:eastAsia="inter" w:cs="inter" w:ascii="inter" w:hAnsi="inter"/>
          <w:color w:val="000000"/>
        </w:rPr>
        <w:t xml:space="preserve">L’</w:t>
      </w:r>
      <w:r>
        <w:rPr>
          <w:rFonts w:eastAsia="inter" w:cs="inter" w:ascii="inter" w:hAnsi="inter"/>
          <w:b/>
          <w:color w:val="000000"/>
        </w:rPr>
        <w:t xml:space="preserve">Amstrad CPC 464</w:t>
      </w:r>
      <w:r>
        <w:rPr>
          <w:rFonts w:eastAsia="inter" w:cs="inter" w:ascii="inter" w:hAnsi="inter"/>
          <w:color w:val="000000"/>
        </w:rPr>
        <w:t xml:space="preserve"> est un micro-ordinateur britannique emblématique du milieu des années 1980, lancé officiellement le 12 avril 1984. Il est considéré comme une innovation majeure dans l’informatique familiale et a joué un rôle important dans la démocratisation de l’informatique en Europe.</w:t>
      </w:r>
      <w:bookmarkStart w:id="0" w:name="fnref1"/>
      <w:bookmarkEnd w:id="0"/>
      <w:hyperlink w:anchor="fn1">
        <w:r>
          <w:rPr>
            <w:rFonts w:eastAsia="inter" w:cs="inter" w:ascii="inter" w:hAnsi="inter"/>
            <w:color w:val="#000"/>
            <w:u w:val="single"/>
            <w:vertAlign w:val="superscript"/>
          </w:rPr>
          <w:t xml:space="preserve">[1]</w:t>
        </w:r>
      </w:hyperlink>
      <w:bookmarkStart w:id="1" w:name="fnref2"/>
      <w:bookmarkEnd w:id="1"/>
      <w:hyperlink w:anchor="fn2">
        <w:r>
          <w:rPr>
            <w:rFonts w:eastAsia="inter" w:cs="inter" w:ascii="inter" w:hAnsi="inter"/>
            <w:color w:val="#000"/>
            <w:u w:val="single"/>
            <w:vertAlign w:val="superscript"/>
          </w:rPr>
          <w:t xml:space="preserve">[2]</w:t>
        </w:r>
      </w:hyperlink>
      <w:bookmarkStart w:id="2" w:name="fnref3"/>
      <w:bookmarkEnd w:id="2"/>
      <w:hyperlink w:anchor="fn3">
        <w:r>
          <w:rPr>
            <w:rFonts w:eastAsia="inter" w:cs="inter" w:ascii="inter" w:hAnsi="inter"/>
            <w:color w:val="#000"/>
            <w:u w:val="single"/>
            <w:vertAlign w:val="superscript"/>
          </w:rPr>
          <w:t xml:space="preserve">[3]</w:t>
        </w:r>
      </w:hyperlink>
    </w:p>
    <w:p>
      <w:pPr>
        <w:spacing w:line="360" w:before="315" w:after="105" w:lineRule="auto"/>
        <w:ind w:left="-30"/>
        <w:jc w:val="left"/>
      </w:pPr>
      <w:r>
        <w:rPr>
          <w:rFonts w:eastAsia="inter" w:cs="inter" w:ascii="inter" w:hAnsi="inter"/>
          <w:b/>
          <w:color w:val="000000"/>
          <w:sz w:val="24"/>
        </w:rPr>
        <w:t xml:space="preserve">Lancement et contexte</w:t>
      </w:r>
    </w:p>
    <w:p>
      <w:pPr>
        <w:numPr>
          <w:ilvl w:val="0"/>
          <w:numId w:val="1"/>
        </w:numPr>
        <w:spacing w:line="360" w:before="105" w:after="105" w:lineRule="auto"/>
      </w:pPr>
      <w:r>
        <w:rPr>
          <w:rFonts w:eastAsia="inter" w:cs="inter" w:ascii="inter" w:hAnsi="inter"/>
          <w:color w:val="000000"/>
          <w:sz w:val="21"/>
        </w:rPr>
        <w:t xml:space="preserve">Le CPC 464 (Color Personal Computer) a été imaginé et commercialisé par Amstrad, dirigé par Alan Sugar, alors que la société n’était initialement pas réputée dans le domaine de l’informatique.</w:t>
      </w:r>
      <w:bookmarkStart w:id="3" w:name="fnref2:1"/>
      <w:bookmarkEnd w:id="3"/>
      <w:hyperlink w:anchor="fn2">
        <w:r>
          <w:rPr>
            <w:rFonts w:eastAsia="inter" w:cs="inter" w:ascii="inter" w:hAnsi="inter"/>
            <w:color w:val="#000"/>
            <w:sz w:val="21"/>
            <w:u w:val="single"/>
            <w:vertAlign w:val="superscript"/>
          </w:rPr>
          <w:t xml:space="preserve">[2]</w:t>
        </w:r>
      </w:hyperlink>
      <w:bookmarkStart w:id="4" w:name="fnref4"/>
      <w:bookmarkEnd w:id="4"/>
      <w:hyperlink w:anchor="fn4">
        <w:r>
          <w:rPr>
            <w:rFonts w:eastAsia="inter" w:cs="inter" w:ascii="inter" w:hAnsi="inter"/>
            <w:color w:val="#000"/>
            <w:sz w:val="21"/>
            <w:u w:val="single"/>
            <w:vertAlign w:val="superscript"/>
          </w:rPr>
          <w:t xml:space="preserve">[4]</w:t>
        </w:r>
      </w:hyperlink>
    </w:p>
    <w:p>
      <w:pPr>
        <w:numPr>
          <w:ilvl w:val="0"/>
          <w:numId w:val="1"/>
        </w:numPr>
        <w:spacing w:line="360" w:before="105" w:after="105" w:lineRule="auto"/>
      </w:pPr>
      <w:r>
        <w:rPr>
          <w:rFonts w:eastAsia="inter" w:cs="inter" w:ascii="inter" w:hAnsi="inter"/>
          <w:color w:val="000000"/>
          <w:sz w:val="21"/>
        </w:rPr>
        <w:t xml:space="preserve">L’ordinateur a été conçu en seulement neuf mois, avec une volonté affirmée de rendre la technologie accessible à un large public, à travers un produit fiable, simple d’utilisation, et proposé à prix compétitif.</w:t>
      </w:r>
    </w:p>
    <w:p>
      <w:pPr>
        <w:numPr>
          <w:ilvl w:val="0"/>
          <w:numId w:val="1"/>
        </w:numPr>
        <w:spacing w:line="360" w:before="105" w:after="105" w:lineRule="auto"/>
      </w:pPr>
      <w:r>
        <w:rPr>
          <w:rFonts w:eastAsia="inter" w:cs="inter" w:ascii="inter" w:hAnsi="inter"/>
          <w:color w:val="000000"/>
          <w:sz w:val="21"/>
        </w:rPr>
        <w:t xml:space="preserve">En France, il est sorti à l’automne 1984 et a rencontré un succès massif, avec jusqu’à 20 000 ventes par mois et plus d’un million d’exemplaires écoulés, supplantant une partie de la concurrence comme les ZX Spectrum, Oric 1 et Commodore 64.</w:t>
      </w:r>
      <w:bookmarkStart w:id="5" w:name="fnref5"/>
      <w:bookmarkEnd w:id="5"/>
      <w:hyperlink w:anchor="fn5">
        <w:r>
          <w:rPr>
            <w:rFonts w:eastAsia="inter" w:cs="inter" w:ascii="inter" w:hAnsi="inter"/>
            <w:color w:val="#000"/>
            <w:sz w:val="21"/>
            <w:u w:val="single"/>
            <w:vertAlign w:val="superscript"/>
          </w:rPr>
          <w:t xml:space="preserve">[5]</w:t>
        </w:r>
      </w:hyperlink>
      <w:bookmarkStart w:id="6" w:name="fnref6"/>
      <w:bookmarkEnd w:id="6"/>
      <w:hyperlink w:anchor="fn6">
        <w:r>
          <w:rPr>
            <w:rFonts w:eastAsia="inter" w:cs="inter" w:ascii="inter" w:hAnsi="inter"/>
            <w:color w:val="#000"/>
            <w:sz w:val="21"/>
            <w:u w:val="single"/>
            <w:vertAlign w:val="superscript"/>
          </w:rPr>
          <w:t xml:space="preserve">[6]</w:t>
        </w:r>
      </w:hyperlink>
      <w:bookmarkStart w:id="7" w:name="fnref4:1"/>
      <w:bookmarkEnd w:id="7"/>
      <w:hyperlink w:anchor="fn4">
        <w:r>
          <w:rPr>
            <w:rFonts w:eastAsia="inter" w:cs="inter" w:ascii="inter" w:hAnsi="inter"/>
            <w:color w:val="#000"/>
            <w:sz w:val="21"/>
            <w:u w:val="single"/>
            <w:vertAlign w:val="superscript"/>
          </w:rPr>
          <w:t xml:space="preserve">[4]</w:t>
        </w:r>
      </w:hyperlink>
    </w:p>
    <w:p>
      <w:pPr>
        <w:spacing w:line="360" w:before="315" w:after="105" w:lineRule="auto"/>
        <w:ind w:left="-30"/>
        <w:jc w:val="left"/>
      </w:pPr>
      <w:r>
        <w:rPr>
          <w:rFonts w:eastAsia="inter" w:cs="inter" w:ascii="inter" w:hAnsi="inter"/>
          <w:b/>
          <w:color w:val="000000"/>
          <w:sz w:val="24"/>
        </w:rPr>
        <w:t xml:space="preserve">Caractéristiques techniques</w:t>
      </w:r>
    </w:p>
    <w:p>
      <w:pPr>
        <w:numPr>
          <w:ilvl w:val="0"/>
          <w:numId w:val="2"/>
        </w:numPr>
        <w:spacing w:line="360" w:before="105" w:after="105" w:lineRule="auto"/>
      </w:pPr>
      <w:r>
        <w:rPr>
          <w:rFonts w:eastAsia="inter" w:cs="inter" w:ascii="inter" w:hAnsi="inter"/>
          <w:color w:val="000000"/>
          <w:sz w:val="21"/>
        </w:rPr>
        <w:t xml:space="preserve">Le CPC 464 est équipé d’un processeur </w:t>
      </w:r>
      <w:r>
        <w:rPr>
          <w:rFonts w:eastAsia="inter" w:cs="inter" w:ascii="inter" w:hAnsi="inter"/>
          <w:b/>
          <w:color w:val="000000"/>
          <w:sz w:val="21"/>
        </w:rPr>
        <w:t xml:space="preserve">Zilog Z80A à 4 MHz</w:t>
      </w:r>
      <w:r>
        <w:rPr>
          <w:rFonts w:eastAsia="inter" w:cs="inter" w:ascii="inter" w:hAnsi="inter"/>
          <w:color w:val="000000"/>
          <w:sz w:val="21"/>
        </w:rPr>
        <w:t xml:space="preserve">, de </w:t>
      </w:r>
      <w:r>
        <w:rPr>
          <w:rFonts w:eastAsia="inter" w:cs="inter" w:ascii="inter" w:hAnsi="inter"/>
          <w:b/>
          <w:color w:val="000000"/>
          <w:sz w:val="21"/>
        </w:rPr>
        <w:t xml:space="preserve">64 Ko de RAM</w:t>
      </w:r>
      <w:r>
        <w:rPr>
          <w:rFonts w:eastAsia="inter" w:cs="inter" w:ascii="inter" w:hAnsi="inter"/>
          <w:color w:val="000000"/>
          <w:sz w:val="21"/>
        </w:rPr>
        <w:t xml:space="preserve"> et de </w:t>
      </w:r>
      <w:r>
        <w:rPr>
          <w:rFonts w:eastAsia="inter" w:cs="inter" w:ascii="inter" w:hAnsi="inter"/>
          <w:b/>
          <w:color w:val="000000"/>
          <w:sz w:val="21"/>
        </w:rPr>
        <w:t xml:space="preserve">32 Ko de ROM</w:t>
      </w:r>
      <w:r>
        <w:rPr>
          <w:rFonts w:eastAsia="inter" w:cs="inter" w:ascii="inter" w:hAnsi="inter"/>
          <w:color w:val="000000"/>
          <w:sz w:val="21"/>
        </w:rPr>
        <w:t xml:space="preserve">, ainsi que d’un lecteur de cassettes intégré pour le stockage des programmes et données.</w:t>
      </w:r>
      <w:bookmarkStart w:id="8" w:name="fnref1:1"/>
      <w:bookmarkEnd w:id="8"/>
      <w:hyperlink w:anchor="fn1">
        <w:r>
          <w:rPr>
            <w:rFonts w:eastAsia="inter" w:cs="inter" w:ascii="inter" w:hAnsi="inter"/>
            <w:color w:val="#000"/>
            <w:sz w:val="21"/>
            <w:u w:val="single"/>
            <w:vertAlign w:val="superscript"/>
          </w:rPr>
          <w:t xml:space="preserve">[1]</w:t>
        </w:r>
      </w:hyperlink>
      <w:bookmarkStart w:id="9" w:name="fnref5:1"/>
      <w:bookmarkEnd w:id="9"/>
      <w:hyperlink w:anchor="fn5">
        <w:r>
          <w:rPr>
            <w:rFonts w:eastAsia="inter" w:cs="inter" w:ascii="inter" w:hAnsi="inter"/>
            <w:color w:val="#000"/>
            <w:sz w:val="21"/>
            <w:u w:val="single"/>
            <w:vertAlign w:val="superscript"/>
          </w:rPr>
          <w:t xml:space="preserve">[5]</w:t>
        </w:r>
      </w:hyperlink>
    </w:p>
    <w:p>
      <w:pPr>
        <w:numPr>
          <w:ilvl w:val="0"/>
          <w:numId w:val="2"/>
        </w:numPr>
        <w:spacing w:line="360" w:before="105" w:after="105" w:lineRule="auto"/>
      </w:pPr>
      <w:r>
        <w:rPr>
          <w:rFonts w:eastAsia="inter" w:cs="inter" w:ascii="inter" w:hAnsi="inter"/>
          <w:color w:val="000000"/>
          <w:sz w:val="21"/>
        </w:rPr>
        <w:t xml:space="preserve">Il fonctionnait avec le Locomotive BASIC 1.0, réputé pour sa rapidité et sa convivialité.</w:t>
      </w:r>
      <w:bookmarkStart w:id="10" w:name="fnref5:2"/>
      <w:bookmarkEnd w:id="10"/>
      <w:hyperlink w:anchor="fn5">
        <w:r>
          <w:rPr>
            <w:rFonts w:eastAsia="inter" w:cs="inter" w:ascii="inter" w:hAnsi="inter"/>
            <w:color w:val="#000"/>
            <w:sz w:val="21"/>
            <w:u w:val="single"/>
            <w:vertAlign w:val="superscript"/>
          </w:rPr>
          <w:t xml:space="preserve">[5]</w:t>
        </w:r>
      </w:hyperlink>
    </w:p>
    <w:p>
      <w:pPr>
        <w:numPr>
          <w:ilvl w:val="0"/>
          <w:numId w:val="2"/>
        </w:numPr>
        <w:spacing w:line="360" w:before="105" w:after="105" w:lineRule="auto"/>
      </w:pPr>
      <w:r>
        <w:rPr>
          <w:rFonts w:eastAsia="inter" w:cs="inter" w:ascii="inter" w:hAnsi="inter"/>
          <w:color w:val="000000"/>
          <w:sz w:val="21"/>
        </w:rPr>
        <w:t xml:space="preserve">La machine offrait différents modes graphiques, dont la gestion de 16 à 27 couleurs selon les modes, ce qui favorisait le développement des jeux vidéo sur cette plateforme.</w:t>
      </w:r>
      <w:bookmarkStart w:id="11" w:name="fnref1:2"/>
      <w:bookmarkEnd w:id="11"/>
      <w:hyperlink w:anchor="fn1">
        <w:r>
          <w:rPr>
            <w:rFonts w:eastAsia="inter" w:cs="inter" w:ascii="inter" w:hAnsi="inter"/>
            <w:color w:val="#000"/>
            <w:sz w:val="21"/>
            <w:u w:val="single"/>
            <w:vertAlign w:val="superscript"/>
          </w:rPr>
          <w:t xml:space="preserve">[1]</w:t>
        </w:r>
      </w:hyperlink>
    </w:p>
    <w:p>
      <w:pPr>
        <w:numPr>
          <w:ilvl w:val="0"/>
          <w:numId w:val="2"/>
        </w:numPr>
        <w:spacing w:line="360" w:before="105" w:after="105" w:lineRule="auto"/>
      </w:pPr>
      <w:r>
        <w:rPr>
          <w:rFonts w:eastAsia="inter" w:cs="inter" w:ascii="inter" w:hAnsi="inter"/>
          <w:color w:val="000000"/>
          <w:sz w:val="21"/>
        </w:rPr>
        <w:t xml:space="preserve">Tout-en-un, il regroupait dans un boîtier compact le clavier, la connectique pour un moniteur et le lecteur de cassettes, ne nécessitant qu’un minimum de câblage pour fonctionner.</w:t>
      </w:r>
      <w:bookmarkStart w:id="12" w:name="fnref4:2"/>
      <w:bookmarkEnd w:id="12"/>
      <w:hyperlink w:anchor="fn4">
        <w:r>
          <w:rPr>
            <w:rFonts w:eastAsia="inter" w:cs="inter" w:ascii="inter" w:hAnsi="inter"/>
            <w:color w:val="#000"/>
            <w:sz w:val="21"/>
            <w:u w:val="single"/>
            <w:vertAlign w:val="superscript"/>
          </w:rPr>
          <w:t xml:space="preserve">[4]</w:t>
        </w:r>
      </w:hyperlink>
      <w:bookmarkStart w:id="13" w:name="fnref7"/>
      <w:bookmarkEnd w:id="13"/>
      <w:hyperlink w:anchor="fn7">
        <w:r>
          <w:rPr>
            <w:rFonts w:eastAsia="inter" w:cs="inter" w:ascii="inter" w:hAnsi="inter"/>
            <w:color w:val="#000"/>
            <w:sz w:val="21"/>
            <w:u w:val="single"/>
            <w:vertAlign w:val="superscript"/>
          </w:rPr>
          <w:t xml:space="preserve">[7]</w:t>
        </w:r>
      </w:hyperlink>
    </w:p>
    <w:p>
      <w:pPr>
        <w:spacing w:line="360" w:before="315" w:after="105" w:lineRule="auto"/>
        <w:ind w:left="-30"/>
        <w:jc w:val="left"/>
      </w:pPr>
      <w:r>
        <w:rPr>
          <w:rFonts w:eastAsia="inter" w:cs="inter" w:ascii="inter" w:hAnsi="inter"/>
          <w:b/>
          <w:color w:val="000000"/>
          <w:sz w:val="24"/>
        </w:rPr>
        <w:t xml:space="preserve">Impact et héritage</w:t>
      </w:r>
    </w:p>
    <w:p>
      <w:pPr>
        <w:numPr>
          <w:ilvl w:val="0"/>
          <w:numId w:val="3"/>
        </w:numPr>
        <w:spacing w:line="360" w:before="105" w:after="105" w:lineRule="auto"/>
      </w:pPr>
      <w:r>
        <w:rPr>
          <w:rFonts w:eastAsia="inter" w:cs="inter" w:ascii="inter" w:hAnsi="inter"/>
          <w:color w:val="000000"/>
          <w:sz w:val="21"/>
        </w:rPr>
        <w:t xml:space="preserve">Le CPC 464 a largement contribué à démocratiser l’informatique familiale grâce à son accessibilité et à sa simplicité d’utilisation, séduisant aussi bien les jeunes que les adultes.</w:t>
      </w:r>
      <w:bookmarkStart w:id="14" w:name="fnref3:1"/>
      <w:bookmarkEnd w:id="14"/>
      <w:hyperlink w:anchor="fn3">
        <w:r>
          <w:rPr>
            <w:rFonts w:eastAsia="inter" w:cs="inter" w:ascii="inter" w:hAnsi="inter"/>
            <w:color w:val="#000"/>
            <w:sz w:val="21"/>
            <w:u w:val="single"/>
            <w:vertAlign w:val="superscript"/>
          </w:rPr>
          <w:t xml:space="preserve">[3]</w:t>
        </w:r>
      </w:hyperlink>
      <w:bookmarkStart w:id="15" w:name="fnref1:3"/>
      <w:bookmarkEnd w:id="15"/>
      <w:hyperlink w:anchor="fn1">
        <w:r>
          <w:rPr>
            <w:rFonts w:eastAsia="inter" w:cs="inter" w:ascii="inter" w:hAnsi="inter"/>
            <w:color w:val="#000"/>
            <w:sz w:val="21"/>
            <w:u w:val="single"/>
            <w:vertAlign w:val="superscript"/>
          </w:rPr>
          <w:t xml:space="preserve">[1]</w:t>
        </w:r>
      </w:hyperlink>
    </w:p>
    <w:p>
      <w:pPr>
        <w:numPr>
          <w:ilvl w:val="0"/>
          <w:numId w:val="3"/>
        </w:numPr>
        <w:spacing w:line="360" w:before="105" w:after="105" w:lineRule="auto"/>
      </w:pPr>
      <w:r>
        <w:rPr>
          <w:rFonts w:eastAsia="inter" w:cs="inter" w:ascii="inter" w:hAnsi="inter"/>
          <w:color w:val="000000"/>
          <w:sz w:val="21"/>
        </w:rPr>
        <w:t xml:space="preserve">Son succès a engendré la création d’une véritable communauté d’utilisateurs, de nombreux magazines dédiés et un catalogue logiciel très riche, notamment orienté vers le jeu vidéo et l’apprentissage de la programmation.</w:t>
      </w:r>
      <w:bookmarkStart w:id="16" w:name="fnref4:3"/>
      <w:bookmarkEnd w:id="16"/>
      <w:hyperlink w:anchor="fn4">
        <w:r>
          <w:rPr>
            <w:rFonts w:eastAsia="inter" w:cs="inter" w:ascii="inter" w:hAnsi="inter"/>
            <w:color w:val="#000"/>
            <w:sz w:val="21"/>
            <w:u w:val="single"/>
            <w:vertAlign w:val="superscript"/>
          </w:rPr>
          <w:t xml:space="preserve">[4]</w:t>
        </w:r>
      </w:hyperlink>
      <w:bookmarkStart w:id="17" w:name="fnref5:3"/>
      <w:bookmarkEnd w:id="17"/>
      <w:hyperlink w:anchor="fn5">
        <w:r>
          <w:rPr>
            <w:rFonts w:eastAsia="inter" w:cs="inter" w:ascii="inter" w:hAnsi="inter"/>
            <w:color w:val="#000"/>
            <w:sz w:val="21"/>
            <w:u w:val="single"/>
            <w:vertAlign w:val="superscript"/>
          </w:rPr>
          <w:t xml:space="preserve">[5]</w:t>
        </w:r>
      </w:hyperlink>
    </w:p>
    <w:p>
      <w:pPr>
        <w:numPr>
          <w:ilvl w:val="0"/>
          <w:numId w:val="3"/>
        </w:numPr>
        <w:spacing w:line="360" w:before="105" w:after="105" w:lineRule="auto"/>
      </w:pPr>
      <w:r>
        <w:rPr>
          <w:rFonts w:eastAsia="inter" w:cs="inter" w:ascii="inter" w:hAnsi="inter"/>
          <w:color w:val="000000"/>
          <w:sz w:val="21"/>
        </w:rPr>
        <w:t xml:space="preserve">Cette machine a également entraîné la sortie de modèles dérivés, comme le CPC 664 (avec lecteur de disquettes) et le CPC 6128 (avec plus de mémoire), élargissant encore la gamme Amstrad et renforçant son influence sur le marché européen des années 1980.</w:t>
      </w:r>
      <w:bookmarkStart w:id="18" w:name="fnref5:4"/>
      <w:bookmarkEnd w:id="18"/>
      <w:hyperlink w:anchor="fn5">
        <w:r>
          <w:rPr>
            <w:rFonts w:eastAsia="inter" w:cs="inter" w:ascii="inter" w:hAnsi="inter"/>
            <w:color w:val="#000"/>
            <w:sz w:val="21"/>
            <w:u w:val="single"/>
            <w:vertAlign w:val="superscript"/>
          </w:rPr>
          <w:t xml:space="preserve">[5]</w:t>
        </w:r>
      </w:hyperlink>
      <w:bookmarkStart w:id="19" w:name="fnref1:4"/>
      <w:bookmarkEnd w:id="19"/>
      <w:hyperlink w:anchor="fn1">
        <w:r>
          <w:rPr>
            <w:rFonts w:eastAsia="inter" w:cs="inter" w:ascii="inter" w:hAnsi="inter"/>
            <w:color w:val="#000"/>
            <w:sz w:val="21"/>
            <w:u w:val="single"/>
            <w:vertAlign w:val="superscript"/>
          </w:rPr>
          <w:t xml:space="preserve">[1]</w:t>
        </w:r>
      </w:hyperlink>
    </w:p>
    <w:p>
      <w:pPr>
        <w:spacing w:line="360" w:after="210" w:lineRule="auto"/>
      </w:pPr>
      <w:r>
        <w:rPr>
          <w:rFonts w:eastAsia="inter" w:cs="inter" w:ascii="inter" w:hAnsi="inter"/>
          <w:color w:val="000000"/>
        </w:rPr>
        <w:t xml:space="preserve">En résumé, l’</w:t>
      </w:r>
      <w:r>
        <w:rPr>
          <w:rFonts w:eastAsia="inter" w:cs="inter" w:ascii="inter" w:hAnsi="inter"/>
          <w:b/>
          <w:color w:val="000000"/>
        </w:rPr>
        <w:t xml:space="preserve">Amstrad CPC 464</w:t>
      </w:r>
      <w:r>
        <w:rPr>
          <w:rFonts w:eastAsia="inter" w:cs="inter" w:ascii="inter" w:hAnsi="inter"/>
          <w:color w:val="000000"/>
        </w:rPr>
        <w:t xml:space="preserve"> demeure une référence de l’histoire informatique populaire, grâce à son équilibre entre prix, innovation technique, ergonomie et riche patrimoine logiciel.</w:t>
      </w:r>
      <w:bookmarkStart w:id="20" w:name="fnref4:4"/>
      <w:bookmarkEnd w:id="20"/>
      <w:hyperlink w:anchor="fn4">
        <w:r>
          <w:rPr>
            <w:rFonts w:eastAsia="inter" w:cs="inter" w:ascii="inter" w:hAnsi="inter"/>
            <w:color w:val="#000"/>
            <w:u w:val="single"/>
            <w:vertAlign w:val="superscript"/>
          </w:rPr>
          <w:t xml:space="preserve">[4]</w:t>
        </w:r>
      </w:hyperlink>
      <w:bookmarkStart w:id="21" w:name="fnref1:5"/>
      <w:bookmarkEnd w:id="21"/>
      <w:hyperlink w:anchor="fn1">
        <w:r>
          <w:rPr>
            <w:rFonts w:eastAsia="inter" w:cs="inter" w:ascii="inter" w:hAnsi="inter"/>
            <w:color w:val="#000"/>
            <w:u w:val="single"/>
            <w:vertAlign w:val="superscript"/>
          </w:rPr>
          <w:t xml:space="preserve">[1]</w:t>
        </w:r>
      </w:hyperlink>
      <w:bookmarkStart w:id="22" w:name="fnref5:5"/>
      <w:bookmarkEnd w:id="22"/>
      <w:hyperlink w:anchor="fn5">
        <w:r>
          <w:rPr>
            <w:rFonts w:eastAsia="inter" w:cs="inter" w:ascii="inter" w:hAnsi="inter"/>
            <w:color w:val="#000"/>
            <w:u w:val="single"/>
            <w:vertAlign w:val="superscript"/>
          </w:rPr>
          <w:t xml:space="preserve">[5]</w:t>
        </w:r>
      </w:hyperlink>
      <w:r>
        <w:rPr>
          <w:rFonts w:eastAsia="inter" w:cs="inter" w:ascii="inter" w:hAnsi="inter"/>
          <w:color w:val="000000"/>
        </w:rPr>
        <w:br w:type="textWrapping"/>
      </w:r>
    </w:p>
    <w:p>
      <w:pPr>
        <w:spacing w:line="360" w:lineRule="auto"/>
        <w:jc w:val="center"/>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23" w:name="fn1"/>
    <w:bookmarkEnd w:id="23"/>
    <w:p>
      <w:pPr>
        <w:numPr>
          <w:ilvl w:val="0"/>
          <w:numId w:val="5"/>
        </w:numPr>
        <w:spacing w:line="360" w:after="210" w:lineRule="auto"/>
      </w:pPr>
      <w:hyperlink r:id="rId6">
        <w:r>
          <w:rPr>
            <w:rFonts w:eastAsia="inter" w:cs="inter" w:ascii="inter" w:hAnsi="inter"/>
            <w:color w:val="#000"/>
            <w:sz w:val="18"/>
            <w:u w:val="single"/>
          </w:rPr>
          <w:t xml:space="preserve">https://www.1ruevintage.com/amstrad-cpc-464-analyse-dune-legende-de-linformatique</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4" w:name="fn2"/>
    <w:bookmarkEnd w:id="24"/>
    <w:p>
      <w:pPr>
        <w:numPr>
          <w:ilvl w:val="0"/>
          <w:numId w:val="5"/>
        </w:numPr>
        <w:spacing w:line="360" w:after="210" w:lineRule="auto"/>
      </w:pPr>
      <w:hyperlink r:id="rId7">
        <w:r>
          <w:rPr>
            <w:rFonts w:eastAsia="inter" w:cs="inter" w:ascii="inter" w:hAnsi="inter"/>
            <w:color w:val="#000"/>
            <w:sz w:val="18"/>
            <w:u w:val="single"/>
          </w:rPr>
          <w:t xml:space="preserve">https://www.geek-officiel.com/lhistoire-du-merveilleux-amstrad-cpc-464</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5" w:name="fn3"/>
    <w:bookmarkEnd w:id="25"/>
    <w:p>
      <w:pPr>
        <w:numPr>
          <w:ilvl w:val="0"/>
          <w:numId w:val="5"/>
        </w:numPr>
        <w:spacing w:line="360" w:after="210" w:lineRule="auto"/>
      </w:pPr>
      <w:hyperlink r:id="rId8">
        <w:r>
          <w:rPr>
            <w:rFonts w:eastAsia="inter" w:cs="inter" w:ascii="inter" w:hAnsi="inter"/>
            <w:color w:val="#000"/>
            <w:sz w:val="18"/>
            <w:u w:val="single"/>
          </w:rPr>
          <w:t xml:space="preserve">https://www.astroware-conception.com/lhistoire-damstrad-une-vision-de/</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26" w:name="fn4"/>
    <w:bookmarkEnd w:id="26"/>
    <w:p>
      <w:pPr>
        <w:numPr>
          <w:ilvl w:val="0"/>
          <w:numId w:val="5"/>
        </w:numPr>
        <w:spacing w:line="360" w:after="210" w:lineRule="auto"/>
      </w:pPr>
      <w:hyperlink r:id="rId9">
        <w:r>
          <w:rPr>
            <w:rFonts w:eastAsia="inter" w:cs="inter" w:ascii="inter" w:hAnsi="inter"/>
            <w:color w:val="#000"/>
            <w:sz w:val="18"/>
            <w:u w:val="single"/>
          </w:rPr>
          <w:t xml:space="preserve">https://www.cpc-power.com/cpcarchives/index.php?page=articles&amp;num=15</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7" w:name="fn5"/>
    <w:bookmarkEnd w:id="27"/>
    <w:p>
      <w:pPr>
        <w:numPr>
          <w:ilvl w:val="0"/>
          <w:numId w:val="5"/>
        </w:numPr>
        <w:spacing w:line="360" w:after="210" w:lineRule="auto"/>
      </w:pPr>
      <w:hyperlink r:id="rId10">
        <w:r>
          <w:rPr>
            <w:rFonts w:eastAsia="inter" w:cs="inter" w:ascii="inter" w:hAnsi="inter"/>
            <w:color w:val="#000"/>
            <w:sz w:val="18"/>
            <w:u w:val="single"/>
          </w:rPr>
          <w:t xml:space="preserve">https://fr.wikipedia.org/wiki/Amstrad_CPC_464</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28" w:name="fn6"/>
    <w:bookmarkEnd w:id="28"/>
    <w:p>
      <w:pPr>
        <w:numPr>
          <w:ilvl w:val="0"/>
          <w:numId w:val="5"/>
        </w:numPr>
        <w:spacing w:line="360" w:after="210" w:lineRule="auto"/>
      </w:pPr>
      <w:hyperlink r:id="rId11">
        <w:r>
          <w:rPr>
            <w:rFonts w:eastAsia="inter" w:cs="inter" w:ascii="inter" w:hAnsi="inter"/>
            <w:color w:val="#000"/>
            <w:sz w:val="18"/>
            <w:u w:val="single"/>
          </w:rPr>
          <w:t xml:space="preserve">https://www.hedg.fr/forum/viewtopic.php?t=2275</w:t>
        </w:r>
      </w:hyperlink>
      <w:r>
        <w:rPr>
          <w:rFonts w:eastAsia="inter" w:cs="inter" w:ascii="inter" w:hAnsi="inter"/>
          <w:color w:val="000000"/>
          <w:sz w:val="18"/>
        </w:rPr>
        <w:t xml:space="preserve"> </w:t>
      </w:r>
    </w:p>
    <w:bookmarkStart w:id="29" w:name="fn7"/>
    <w:bookmarkEnd w:id="29"/>
    <w:p>
      <w:pPr>
        <w:numPr>
          <w:ilvl w:val="0"/>
          <w:numId w:val="5"/>
        </w:numPr>
        <w:spacing w:line="360" w:after="210" w:lineRule="auto"/>
      </w:pPr>
      <w:hyperlink r:id="rId12">
        <w:r>
          <w:rPr>
            <w:rFonts w:eastAsia="inter" w:cs="inter" w:ascii="inter" w:hAnsi="inter"/>
            <w:color w:val="#000"/>
            <w:sz w:val="18"/>
            <w:u w:val="single"/>
          </w:rPr>
          <w:t xml:space="preserve">https://amstrad.eu/amstrad-cpc-464/</w:t>
        </w:r>
      </w:hyperlink>
      <w:r>
        <w:rPr>
          <w:rFonts w:eastAsia="inter" w:cs="inter" w:ascii="inter" w:hAnsi="inter"/>
          <w:color w:val="000000"/>
          <w:sz w:val="18"/>
        </w:rPr>
        <w:t xml:space="preserve"> </w:t>
      </w:r>
    </w:p>
    <w:bookmarkStart w:id="30" w:name="fn8"/>
    <w:bookmarkEnd w:id="30"/>
    <w:p>
      <w:pPr>
        <w:numPr>
          <w:ilvl w:val="0"/>
          <w:numId w:val="5"/>
        </w:numPr>
        <w:spacing w:line="360" w:after="210" w:lineRule="auto"/>
      </w:pPr>
      <w:hyperlink r:id="rId13">
        <w:r>
          <w:rPr>
            <w:rFonts w:eastAsia="inter" w:cs="inter" w:ascii="inter" w:hAnsi="inter"/>
            <w:color w:val="#000"/>
            <w:sz w:val="18"/>
            <w:u w:val="single"/>
          </w:rPr>
          <w:t xml:space="preserve">https://fr.wikipedia.org/wiki/Amstrad_CPC</w:t>
        </w:r>
      </w:hyperlink>
      <w:r>
        <w:rPr>
          <w:rFonts w:eastAsia="inter" w:cs="inter" w:ascii="inter" w:hAnsi="inter"/>
          <w:color w:val="000000"/>
          <w:sz w:val="18"/>
        </w:rPr>
        <w:t xml:space="preserve"> </w:t>
      </w:r>
    </w:p>
    <w:bookmarkStart w:id="31" w:name="fn9"/>
    <w:bookmarkEnd w:id="31"/>
    <w:p>
      <w:pPr>
        <w:numPr>
          <w:ilvl w:val="0"/>
          <w:numId w:val="5"/>
        </w:numPr>
        <w:spacing w:line="360" w:after="210" w:lineRule="auto"/>
      </w:pPr>
      <w:hyperlink r:id="rId14">
        <w:r>
          <w:rPr>
            <w:rFonts w:eastAsia="inter" w:cs="inter" w:ascii="inter" w:hAnsi="inter"/>
            <w:color w:val="#000"/>
            <w:sz w:val="18"/>
            <w:u w:val="single"/>
          </w:rPr>
          <w:t xml:space="preserve">https://www.youtube.com/watch?v=fB9M6RMtMUE</w:t>
        </w:r>
      </w:hyperlink>
      <w:r>
        <w:rPr>
          <w:rFonts w:eastAsia="inter" w:cs="inter" w:ascii="inter" w:hAnsi="inter"/>
          <w:color w:val="000000"/>
          <w:sz w:val="18"/>
        </w:rPr>
        <w:t xml:space="preserve"> </w:t>
      </w:r>
    </w:p>
    <w:bookmarkStart w:id="32" w:name="fn10"/>
    <w:bookmarkEnd w:id="32"/>
    <w:p>
      <w:pPr>
        <w:numPr>
          <w:ilvl w:val="0"/>
          <w:numId w:val="5"/>
        </w:numPr>
        <w:spacing w:line="360" w:after="210" w:lineRule="auto"/>
      </w:pPr>
      <w:hyperlink r:id="rId15">
        <w:r>
          <w:rPr>
            <w:rFonts w:eastAsia="inter" w:cs="inter" w:ascii="inter" w:hAnsi="inter"/>
            <w:color w:val="#000"/>
            <w:sz w:val="18"/>
            <w:u w:val="single"/>
          </w:rPr>
          <w:t xml:space="preserve">https://cpcrulez.fr/people-cpc-ces_ordinateurs_sont_dangereux-01-dessine_moi_un_ordinateur.htm</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
    <w:multiLevelType w:val="hybridMultilevel"/>
  </w:abstractNum>
  <w:abstractNum w:abstractNumId="5">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5a6c7d4381587420c597e286b555f7c1dc44cb2.png" TargetMode="Internal"/><Relationship Id="rId6" Type="http://schemas.openxmlformats.org/officeDocument/2006/relationships/hyperlink" Target="https://www.1ruevintage.com/amstrad-cpc-464-analyse-dune-legende-de-linformatique" TargetMode="External"/><Relationship Id="rId7" Type="http://schemas.openxmlformats.org/officeDocument/2006/relationships/hyperlink" Target="https://www.geek-officiel.com/lhistoire-du-merveilleux-amstrad-cpc-464" TargetMode="External"/><Relationship Id="rId8" Type="http://schemas.openxmlformats.org/officeDocument/2006/relationships/hyperlink" Target="https://www.astroware-conception.com/lhistoire-damstrad-une-vision-de/" TargetMode="External"/><Relationship Id="rId9" Type="http://schemas.openxmlformats.org/officeDocument/2006/relationships/hyperlink" Target="https://www.cpc-power.com/cpcarchives/index.php?page=articles&amp;num=15" TargetMode="External"/><Relationship Id="rId10" Type="http://schemas.openxmlformats.org/officeDocument/2006/relationships/hyperlink" Target="https://fr.wikipedia.org/wiki/Amstrad_CPC_464" TargetMode="External"/><Relationship Id="rId11" Type="http://schemas.openxmlformats.org/officeDocument/2006/relationships/hyperlink" Target="https://www.hedg.fr/forum/viewtopic.php?t=2275" TargetMode="External"/><Relationship Id="rId12" Type="http://schemas.openxmlformats.org/officeDocument/2006/relationships/hyperlink" Target="https://amstrad.eu/amstrad-cpc-464/" TargetMode="External"/><Relationship Id="rId13" Type="http://schemas.openxmlformats.org/officeDocument/2006/relationships/hyperlink" Target="https://fr.wikipedia.org/wiki/Amstrad_CPC" TargetMode="External"/><Relationship Id="rId14" Type="http://schemas.openxmlformats.org/officeDocument/2006/relationships/hyperlink" Target="https://www.youtube.com/watch?v=fB9M6RMtMUE" TargetMode="External"/><Relationship Id="rId15" Type="http://schemas.openxmlformats.org/officeDocument/2006/relationships/hyperlink" Target="https://cpcrulez.fr/people-cpc-ces_ordinateurs_sont_dangereux-01-dessine_moi_un_ordinateur.htm"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2025-09-12T11:50:01.816Z</dcterms:created>
  <dcterms:modified xsi:type="dcterms:W3CDTF">2025-09-12T11:50:01.816Z</dcterms:modified>
</cp:coreProperties>
</file>